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5C" w:rsidRPr="002D6C5C" w:rsidRDefault="002D6C5C" w:rsidP="002D6C5C">
      <w:pPr>
        <w:jc w:val="center"/>
        <w:rPr>
          <w:rFonts w:hint="eastAsia"/>
          <w:sz w:val="48"/>
          <w:szCs w:val="48"/>
        </w:rPr>
      </w:pPr>
      <w:r w:rsidRPr="002D6C5C">
        <w:rPr>
          <w:rFonts w:hint="eastAsia"/>
          <w:sz w:val="48"/>
          <w:szCs w:val="48"/>
        </w:rPr>
        <w:t>拍卖成交确认书</w:t>
      </w:r>
    </w:p>
    <w:p w:rsidR="002D6C5C" w:rsidRDefault="00AE37A1" w:rsidP="00D6593F">
      <w:pPr>
        <w:spacing w:beforeLines="50" w:afterLines="50" w:line="360" w:lineRule="auto"/>
        <w:rPr>
          <w:rFonts w:hint="eastAsia"/>
          <w:u w:val="single"/>
        </w:rPr>
      </w:pPr>
      <w:r>
        <w:rPr>
          <w:rFonts w:hint="eastAsia"/>
        </w:rPr>
        <w:t>拍卖人：</w:t>
      </w:r>
      <w:r>
        <w:rPr>
          <w:rFonts w:hint="eastAsia"/>
          <w:u w:val="single"/>
        </w:rPr>
        <w:t xml:space="preserve">            </w:t>
      </w:r>
    </w:p>
    <w:p w:rsidR="00AE37A1" w:rsidRPr="00D6593F" w:rsidRDefault="00AE37A1" w:rsidP="00D6593F">
      <w:pPr>
        <w:spacing w:beforeLines="50" w:afterLines="50" w:line="360" w:lineRule="auto"/>
        <w:rPr>
          <w:rFonts w:hint="eastAsia"/>
          <w:u w:val="single"/>
        </w:rPr>
      </w:pPr>
      <w:r w:rsidRPr="00AE37A1">
        <w:rPr>
          <w:rFonts w:hint="eastAsia"/>
        </w:rPr>
        <w:t>买受人</w:t>
      </w:r>
      <w:r>
        <w:rPr>
          <w:rFonts w:hint="eastAsia"/>
        </w:rPr>
        <w:t>：</w:t>
      </w:r>
      <w:r>
        <w:rPr>
          <w:rFonts w:hint="eastAsia"/>
          <w:u w:val="single"/>
        </w:rPr>
        <w:t xml:space="preserve">            </w:t>
      </w:r>
      <w:r>
        <w:rPr>
          <w:rFonts w:hint="eastAsia"/>
        </w:rPr>
        <w:t xml:space="preserve"> </w:t>
      </w:r>
      <w:r w:rsidR="00D6593F">
        <w:rPr>
          <w:rFonts w:hint="eastAsia"/>
        </w:rPr>
        <w:t xml:space="preserve">                    </w:t>
      </w:r>
      <w:r>
        <w:rPr>
          <w:rFonts w:hint="eastAsia"/>
        </w:rPr>
        <w:t xml:space="preserve"> </w:t>
      </w:r>
      <w:r>
        <w:rPr>
          <w:rFonts w:hint="eastAsia"/>
        </w:rPr>
        <w:t>签订地点：</w:t>
      </w:r>
      <w:r w:rsidR="00D6593F">
        <w:rPr>
          <w:rFonts w:hint="eastAsia"/>
          <w:u w:val="single"/>
        </w:rPr>
        <w:t xml:space="preserve">                 </w:t>
      </w:r>
    </w:p>
    <w:p w:rsidR="00AE37A1" w:rsidRPr="00AE37A1" w:rsidRDefault="00AE37A1" w:rsidP="00D6593F">
      <w:pPr>
        <w:spacing w:beforeLines="50" w:afterLines="50" w:line="360" w:lineRule="auto"/>
        <w:rPr>
          <w:rFonts w:hint="eastAsia"/>
        </w:rPr>
      </w:pPr>
      <w:r w:rsidRPr="00AE37A1">
        <w:rPr>
          <w:rFonts w:hint="eastAsia"/>
        </w:rPr>
        <w:t>买受人账号</w:t>
      </w:r>
      <w:r>
        <w:rPr>
          <w:rFonts w:hint="eastAsia"/>
        </w:rPr>
        <w:t>：</w:t>
      </w:r>
      <w:r w:rsidR="00D6593F">
        <w:rPr>
          <w:rFonts w:hint="eastAsia"/>
          <w:u w:val="single"/>
        </w:rPr>
        <w:t xml:space="preserve">                    </w:t>
      </w:r>
      <w:r>
        <w:rPr>
          <w:rFonts w:hint="eastAsia"/>
        </w:rPr>
        <w:t xml:space="preserve">          </w:t>
      </w:r>
      <w:r>
        <w:rPr>
          <w:rFonts w:hint="eastAsia"/>
        </w:rPr>
        <w:t>签订时间：</w:t>
      </w:r>
      <w:r w:rsidR="00D6593F">
        <w:rPr>
          <w:rFonts w:hint="eastAsia"/>
          <w:u w:val="single"/>
        </w:rPr>
        <w:t xml:space="preserve">                 </w:t>
      </w:r>
      <w:r>
        <w:rPr>
          <w:rFonts w:hint="eastAsia"/>
        </w:rPr>
        <w:t xml:space="preserve">               </w:t>
      </w:r>
    </w:p>
    <w:p w:rsidR="002D6C5C" w:rsidRPr="002D6C5C" w:rsidRDefault="00AE37A1" w:rsidP="00D6593F">
      <w:pPr>
        <w:spacing w:beforeLines="50" w:afterLines="50" w:line="360" w:lineRule="auto"/>
        <w:rPr>
          <w:rFonts w:asciiTheme="minorEastAsia" w:hAnsiTheme="minorEastAsia" w:cs="宋体"/>
          <w:color w:val="404040"/>
          <w:kern w:val="0"/>
          <w:szCs w:val="21"/>
        </w:rPr>
      </w:pPr>
      <w:r w:rsidRPr="00AE37A1">
        <w:rPr>
          <w:rFonts w:hint="eastAsia"/>
        </w:rPr>
        <w:t>买受人身份证号（或企业营业执照编号）</w:t>
      </w:r>
      <w:r>
        <w:rPr>
          <w:rFonts w:hint="eastAsia"/>
        </w:rPr>
        <w:t>：</w:t>
      </w:r>
      <w:r w:rsidR="00D6593F">
        <w:rPr>
          <w:rFonts w:hint="eastAsia"/>
          <w:u w:val="single"/>
        </w:rPr>
        <w:t xml:space="preserve">                                      </w:t>
      </w:r>
      <w:r>
        <w:rPr>
          <w:rFonts w:hint="eastAsia"/>
        </w:rPr>
        <w:t xml:space="preserve">   </w:t>
      </w:r>
    </w:p>
    <w:p w:rsidR="002D6C5C" w:rsidRPr="002D6C5C" w:rsidRDefault="002D6C5C" w:rsidP="00D6593F">
      <w:pPr>
        <w:widowControl/>
        <w:shd w:val="clear" w:color="auto" w:fill="FFFFFF"/>
        <w:spacing w:beforeLines="50" w:afterLines="50" w:line="360" w:lineRule="auto"/>
        <w:ind w:firstLine="48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买受人于</w:t>
      </w:r>
      <w:r w:rsidRPr="00AE37A1">
        <w:rPr>
          <w:rFonts w:asciiTheme="minorEastAsia" w:hAnsiTheme="minorEastAsia" w:cs="宋体" w:hint="eastAsia"/>
          <w:color w:val="404040"/>
          <w:kern w:val="0"/>
          <w:szCs w:val="21"/>
          <w:u w:val="single"/>
        </w:rPr>
        <w:t> </w:t>
      </w:r>
      <w:r w:rsidRPr="002D6C5C">
        <w:rPr>
          <w:rFonts w:asciiTheme="minorEastAsia" w:hAnsiTheme="minorEastAsia" w:cs="宋体" w:hint="eastAsia"/>
          <w:color w:val="404040"/>
          <w:kern w:val="0"/>
          <w:szCs w:val="21"/>
          <w:u w:val="single"/>
        </w:rPr>
        <w:t>   </w:t>
      </w:r>
      <w:r w:rsidRPr="00AE37A1">
        <w:rPr>
          <w:rFonts w:asciiTheme="minorEastAsia" w:hAnsiTheme="minorEastAsia" w:cs="宋体" w:hint="eastAsia"/>
          <w:color w:val="404040"/>
          <w:kern w:val="0"/>
          <w:szCs w:val="21"/>
          <w:u w:val="single"/>
        </w:rPr>
        <w:t> </w:t>
      </w:r>
      <w:r w:rsidRPr="002D6C5C">
        <w:rPr>
          <w:rFonts w:asciiTheme="minorEastAsia" w:hAnsiTheme="minorEastAsia" w:cs="宋体" w:hint="eastAsia"/>
          <w:color w:val="404040"/>
          <w:kern w:val="0"/>
          <w:szCs w:val="21"/>
        </w:rPr>
        <w:t>年</w:t>
      </w:r>
      <w:r w:rsidRPr="00AE37A1">
        <w:rPr>
          <w:rFonts w:asciiTheme="minorEastAsia" w:hAnsiTheme="minorEastAsia" w:cs="宋体" w:hint="eastAsia"/>
          <w:color w:val="404040"/>
          <w:kern w:val="0"/>
          <w:szCs w:val="21"/>
          <w:u w:val="single"/>
        </w:rPr>
        <w:t> </w:t>
      </w:r>
      <w:r w:rsidRPr="002D6C5C">
        <w:rPr>
          <w:rFonts w:asciiTheme="minorEastAsia" w:hAnsiTheme="minorEastAsia" w:cs="宋体" w:hint="eastAsia"/>
          <w:color w:val="404040"/>
          <w:kern w:val="0"/>
          <w:szCs w:val="21"/>
          <w:u w:val="single"/>
        </w:rPr>
        <w:t> </w:t>
      </w:r>
      <w:r w:rsidRPr="00AE37A1">
        <w:rPr>
          <w:rFonts w:asciiTheme="minorEastAsia" w:hAnsiTheme="minorEastAsia" w:cs="宋体" w:hint="eastAsia"/>
          <w:color w:val="404040"/>
          <w:kern w:val="0"/>
          <w:szCs w:val="21"/>
          <w:u w:val="single"/>
        </w:rPr>
        <w:t> </w:t>
      </w:r>
      <w:r w:rsidRPr="002D6C5C">
        <w:rPr>
          <w:rFonts w:asciiTheme="minorEastAsia" w:hAnsiTheme="minorEastAsia" w:cs="宋体" w:hint="eastAsia"/>
          <w:color w:val="404040"/>
          <w:kern w:val="0"/>
          <w:szCs w:val="21"/>
        </w:rPr>
        <w:t>月</w:t>
      </w:r>
      <w:r w:rsidRPr="00AE37A1">
        <w:rPr>
          <w:rFonts w:asciiTheme="minorEastAsia" w:hAnsiTheme="minorEastAsia" w:cs="宋体" w:hint="eastAsia"/>
          <w:color w:val="404040"/>
          <w:kern w:val="0"/>
          <w:szCs w:val="21"/>
          <w:u w:val="single"/>
        </w:rPr>
        <w:t> </w:t>
      </w:r>
      <w:r w:rsidRPr="002D6C5C">
        <w:rPr>
          <w:rFonts w:asciiTheme="minorEastAsia" w:hAnsiTheme="minorEastAsia" w:cs="宋体" w:hint="eastAsia"/>
          <w:color w:val="404040"/>
          <w:kern w:val="0"/>
          <w:szCs w:val="21"/>
          <w:u w:val="single"/>
        </w:rPr>
        <w:t> </w:t>
      </w:r>
      <w:r w:rsidRPr="00AE37A1">
        <w:rPr>
          <w:rFonts w:asciiTheme="minorEastAsia" w:hAnsiTheme="minorEastAsia" w:cs="宋体" w:hint="eastAsia"/>
          <w:color w:val="404040"/>
          <w:kern w:val="0"/>
          <w:szCs w:val="21"/>
          <w:u w:val="single"/>
        </w:rPr>
        <w:t> </w:t>
      </w:r>
      <w:r w:rsidRPr="002D6C5C">
        <w:rPr>
          <w:rFonts w:asciiTheme="minorEastAsia" w:hAnsiTheme="minorEastAsia" w:cs="宋体" w:hint="eastAsia"/>
          <w:color w:val="404040"/>
          <w:kern w:val="0"/>
          <w:szCs w:val="21"/>
        </w:rPr>
        <w:t>日在拍卖人于</w:t>
      </w:r>
      <w:r w:rsidRPr="00AE37A1">
        <w:rPr>
          <w:rFonts w:asciiTheme="minorEastAsia" w:hAnsiTheme="minorEastAsia" w:cs="宋体" w:hint="eastAsia"/>
          <w:color w:val="404040"/>
          <w:kern w:val="0"/>
          <w:szCs w:val="21"/>
        </w:rPr>
        <w:t>北京卞氏拍卖有限公司</w:t>
      </w:r>
      <w:r w:rsidRPr="002D6C5C">
        <w:rPr>
          <w:rFonts w:asciiTheme="minorEastAsia" w:hAnsiTheme="minorEastAsia" w:cs="宋体" w:hint="eastAsia"/>
          <w:color w:val="404040"/>
          <w:kern w:val="0"/>
          <w:szCs w:val="21"/>
        </w:rPr>
        <w:t>拍卖平台举行的</w:t>
      </w:r>
      <w:r w:rsidRPr="00AE37A1">
        <w:rPr>
          <w:rFonts w:asciiTheme="minorEastAsia" w:hAnsiTheme="minorEastAsia" w:cs="宋体" w:hint="eastAsia"/>
          <w:color w:val="404040"/>
          <w:kern w:val="0"/>
          <w:szCs w:val="21"/>
          <w:u w:val="single"/>
        </w:rPr>
        <w:t> </w:t>
      </w:r>
      <w:r w:rsidRPr="002D6C5C">
        <w:rPr>
          <w:rFonts w:asciiTheme="minorEastAsia" w:hAnsiTheme="minorEastAsia" w:cs="宋体" w:hint="eastAsia"/>
          <w:color w:val="404040"/>
          <w:kern w:val="0"/>
          <w:szCs w:val="21"/>
          <w:u w:val="single"/>
        </w:rPr>
        <w:t>     </w:t>
      </w:r>
      <w:r w:rsidRPr="00AE37A1">
        <w:rPr>
          <w:rFonts w:asciiTheme="minorEastAsia" w:hAnsiTheme="minorEastAsia" w:cs="宋体" w:hint="eastAsia"/>
          <w:color w:val="404040"/>
          <w:kern w:val="0"/>
          <w:szCs w:val="21"/>
          <w:u w:val="single"/>
        </w:rPr>
        <w:t> </w:t>
      </w:r>
      <w:r w:rsidRPr="002D6C5C">
        <w:rPr>
          <w:rFonts w:asciiTheme="minorEastAsia" w:hAnsiTheme="minorEastAsia" w:cs="宋体" w:hint="eastAsia"/>
          <w:color w:val="404040"/>
          <w:kern w:val="0"/>
          <w:szCs w:val="21"/>
        </w:rPr>
        <w:t>拍卖专场（专场编号：</w:t>
      </w:r>
      <w:r w:rsidRPr="00AE37A1">
        <w:rPr>
          <w:rFonts w:asciiTheme="minorEastAsia" w:hAnsiTheme="minorEastAsia" w:cs="宋体" w:hint="eastAsia"/>
          <w:color w:val="404040"/>
          <w:kern w:val="0"/>
          <w:szCs w:val="21"/>
          <w:u w:val="single"/>
        </w:rPr>
        <w:t> </w:t>
      </w:r>
      <w:r w:rsidRPr="002D6C5C">
        <w:rPr>
          <w:rFonts w:asciiTheme="minorEastAsia" w:hAnsiTheme="minorEastAsia" w:cs="宋体" w:hint="eastAsia"/>
          <w:color w:val="404040"/>
          <w:kern w:val="0"/>
          <w:szCs w:val="21"/>
          <w:u w:val="single"/>
        </w:rPr>
        <w:t>     </w:t>
      </w:r>
      <w:r w:rsidRPr="00AE37A1">
        <w:rPr>
          <w:rFonts w:asciiTheme="minorEastAsia" w:hAnsiTheme="minorEastAsia" w:cs="宋体" w:hint="eastAsia"/>
          <w:color w:val="404040"/>
          <w:kern w:val="0"/>
          <w:szCs w:val="21"/>
          <w:u w:val="single"/>
        </w:rPr>
        <w:t> </w:t>
      </w:r>
      <w:r w:rsidRPr="002D6C5C">
        <w:rPr>
          <w:rFonts w:asciiTheme="minorEastAsia" w:hAnsiTheme="minorEastAsia" w:cs="宋体" w:hint="eastAsia"/>
          <w:color w:val="404040"/>
          <w:kern w:val="0"/>
          <w:szCs w:val="21"/>
        </w:rPr>
        <w:t>），通过公开竞价成交下列拍卖标的，依照《中华人民共和国拍卖法》及有关法律的规定，双方签订成交确认书如下：</w:t>
      </w:r>
    </w:p>
    <w:p w:rsidR="002D6C5C" w:rsidRPr="002D6C5C" w:rsidRDefault="002D6C5C" w:rsidP="00D6593F">
      <w:pPr>
        <w:widowControl/>
        <w:shd w:val="clear" w:color="auto" w:fill="FFFFFF"/>
        <w:spacing w:beforeLines="50" w:afterLines="50" w:line="360" w:lineRule="auto"/>
        <w:ind w:firstLineChars="200" w:firstLine="42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一、</w:t>
      </w:r>
      <w:r w:rsidRPr="002D6C5C">
        <w:rPr>
          <w:rFonts w:asciiTheme="minorEastAsia" w:hAnsiTheme="minorEastAsia" w:cs="Times New Roman"/>
          <w:color w:val="404040"/>
          <w:kern w:val="0"/>
          <w:szCs w:val="21"/>
        </w:rPr>
        <w:t> </w:t>
      </w:r>
      <w:r w:rsidRPr="00AE37A1">
        <w:rPr>
          <w:rFonts w:asciiTheme="minorEastAsia" w:hAnsiTheme="minorEastAsia" w:cs="Times New Roman"/>
          <w:color w:val="404040"/>
          <w:kern w:val="0"/>
          <w:szCs w:val="21"/>
        </w:rPr>
        <w:t> </w:t>
      </w:r>
      <w:r w:rsidRPr="002D6C5C">
        <w:rPr>
          <w:rFonts w:asciiTheme="minorEastAsia" w:hAnsiTheme="minorEastAsia" w:cs="宋体" w:hint="eastAsia"/>
          <w:color w:val="404040"/>
          <w:kern w:val="0"/>
          <w:szCs w:val="21"/>
        </w:rPr>
        <w:t>成交的拍卖物：</w:t>
      </w:r>
    </w:p>
    <w:tbl>
      <w:tblPr>
        <w:tblW w:w="8687" w:type="dxa"/>
        <w:tblCellSpacing w:w="0" w:type="dxa"/>
        <w:shd w:val="clear" w:color="auto" w:fill="FFFFFF"/>
        <w:tblCellMar>
          <w:left w:w="0" w:type="dxa"/>
          <w:right w:w="0" w:type="dxa"/>
        </w:tblCellMar>
        <w:tblLook w:val="04A0"/>
      </w:tblPr>
      <w:tblGrid>
        <w:gridCol w:w="1152"/>
        <w:gridCol w:w="1876"/>
        <w:gridCol w:w="1234"/>
        <w:gridCol w:w="856"/>
        <w:gridCol w:w="1284"/>
        <w:gridCol w:w="2285"/>
      </w:tblGrid>
      <w:tr w:rsidR="00D6593F" w:rsidRPr="002D6C5C" w:rsidTr="00D6593F">
        <w:trPr>
          <w:trHeight w:val="327"/>
          <w:tblCellSpacing w:w="0" w:type="dxa"/>
        </w:trPr>
        <w:tc>
          <w:tcPr>
            <w:tcW w:w="1152"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jc w:val="center"/>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标的编号</w:t>
            </w:r>
          </w:p>
        </w:tc>
        <w:tc>
          <w:tcPr>
            <w:tcW w:w="187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jc w:val="center"/>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标的名称</w:t>
            </w:r>
          </w:p>
        </w:tc>
        <w:tc>
          <w:tcPr>
            <w:tcW w:w="123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jc w:val="center"/>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成交价</w:t>
            </w:r>
          </w:p>
        </w:tc>
        <w:tc>
          <w:tcPr>
            <w:tcW w:w="85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jc w:val="center"/>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佣金率</w:t>
            </w:r>
          </w:p>
        </w:tc>
        <w:tc>
          <w:tcPr>
            <w:tcW w:w="128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jc w:val="center"/>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佣金额</w:t>
            </w:r>
          </w:p>
        </w:tc>
        <w:tc>
          <w:tcPr>
            <w:tcW w:w="22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jc w:val="center"/>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总金额</w:t>
            </w:r>
          </w:p>
        </w:tc>
      </w:tr>
      <w:tr w:rsidR="00D6593F" w:rsidRPr="002D6C5C" w:rsidTr="00D6593F">
        <w:trPr>
          <w:trHeight w:val="1295"/>
          <w:tblCellSpacing w:w="0" w:type="dxa"/>
        </w:trPr>
        <w:tc>
          <w:tcPr>
            <w:tcW w:w="115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  </w:t>
            </w:r>
          </w:p>
        </w:tc>
        <w:tc>
          <w:tcPr>
            <w:tcW w:w="1876"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  </w:t>
            </w:r>
          </w:p>
        </w:tc>
        <w:tc>
          <w:tcPr>
            <w:tcW w:w="1234"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  </w:t>
            </w:r>
          </w:p>
        </w:tc>
        <w:tc>
          <w:tcPr>
            <w:tcW w:w="856"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  </w:t>
            </w:r>
          </w:p>
        </w:tc>
        <w:tc>
          <w:tcPr>
            <w:tcW w:w="1284"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  </w:t>
            </w:r>
          </w:p>
        </w:tc>
        <w:tc>
          <w:tcPr>
            <w:tcW w:w="228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  </w:t>
            </w:r>
          </w:p>
        </w:tc>
      </w:tr>
      <w:tr w:rsidR="002D6C5C" w:rsidRPr="002D6C5C" w:rsidTr="00D6593F">
        <w:trPr>
          <w:trHeight w:val="327"/>
          <w:tblCellSpacing w:w="0" w:type="dxa"/>
        </w:trPr>
        <w:tc>
          <w:tcPr>
            <w:tcW w:w="8686"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2D6C5C" w:rsidRPr="002D6C5C" w:rsidRDefault="00D6593F" w:rsidP="00D6593F">
            <w:pPr>
              <w:widowControl/>
              <w:spacing w:beforeLines="50" w:afterLines="50" w:line="360" w:lineRule="auto"/>
              <w:jc w:val="left"/>
              <w:rPr>
                <w:rFonts w:asciiTheme="minorEastAsia" w:hAnsiTheme="minorEastAsia" w:cs="宋体"/>
                <w:color w:val="404040"/>
                <w:kern w:val="0"/>
                <w:szCs w:val="21"/>
              </w:rPr>
            </w:pPr>
            <w:r>
              <w:rPr>
                <w:rFonts w:asciiTheme="minorEastAsia" w:hAnsiTheme="minorEastAsia" w:cs="宋体" w:hint="eastAsia"/>
                <w:color w:val="404040"/>
                <w:kern w:val="0"/>
                <w:szCs w:val="21"/>
              </w:rPr>
              <w:t>合计金额（大写）：                               （小写）：</w:t>
            </w:r>
            <w:r w:rsidR="002D6C5C" w:rsidRPr="002D6C5C">
              <w:rPr>
                <w:rFonts w:asciiTheme="minorEastAsia" w:hAnsiTheme="minorEastAsia" w:cs="宋体"/>
                <w:color w:val="404040"/>
                <w:kern w:val="0"/>
                <w:szCs w:val="21"/>
              </w:rPr>
              <w:t>          </w:t>
            </w:r>
            <w:r w:rsidR="002D6C5C" w:rsidRPr="00AE37A1">
              <w:rPr>
                <w:rFonts w:asciiTheme="minorEastAsia" w:hAnsiTheme="minorEastAsia" w:cs="宋体"/>
                <w:color w:val="404040"/>
                <w:kern w:val="0"/>
                <w:szCs w:val="21"/>
              </w:rPr>
              <w:t> </w:t>
            </w:r>
          </w:p>
        </w:tc>
      </w:tr>
    </w:tbl>
    <w:p w:rsidR="002D6C5C" w:rsidRPr="002D6C5C" w:rsidRDefault="002D6C5C" w:rsidP="00D6593F">
      <w:pPr>
        <w:widowControl/>
        <w:shd w:val="clear" w:color="auto" w:fill="FFFFFF"/>
        <w:spacing w:beforeLines="50" w:afterLines="50" w:line="360" w:lineRule="auto"/>
        <w:ind w:firstLineChars="250" w:firstLine="525"/>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二、买受人自在线竞拍成功之时起</w:t>
      </w:r>
      <w:r w:rsidRPr="00AE37A1">
        <w:rPr>
          <w:rFonts w:asciiTheme="minorEastAsia" w:hAnsiTheme="minorEastAsia" w:cs="宋体" w:hint="eastAsia"/>
          <w:color w:val="404040"/>
          <w:kern w:val="0"/>
          <w:szCs w:val="21"/>
          <w:u w:val="single"/>
        </w:rPr>
        <w:t xml:space="preserve">       </w:t>
      </w:r>
      <w:r w:rsidRPr="00AE37A1">
        <w:rPr>
          <w:rFonts w:asciiTheme="minorEastAsia" w:hAnsiTheme="minorEastAsia" w:cs="宋体" w:hint="eastAsia"/>
          <w:color w:val="404040"/>
          <w:kern w:val="0"/>
          <w:szCs w:val="21"/>
        </w:rPr>
        <w:t>小时内</w:t>
      </w:r>
      <w:r w:rsidRPr="002D6C5C">
        <w:rPr>
          <w:rFonts w:asciiTheme="minorEastAsia" w:hAnsiTheme="minorEastAsia" w:cs="宋体" w:hint="eastAsia"/>
          <w:color w:val="404040"/>
          <w:kern w:val="0"/>
          <w:szCs w:val="21"/>
        </w:rPr>
        <w:t>将拍卖物成交金额及佣金支付至</w:t>
      </w:r>
      <w:r w:rsidRPr="00AE37A1">
        <w:rPr>
          <w:rFonts w:asciiTheme="minorEastAsia" w:hAnsiTheme="minorEastAsia" w:cs="宋体" w:hint="eastAsia"/>
          <w:color w:val="404040"/>
          <w:kern w:val="0"/>
          <w:szCs w:val="21"/>
        </w:rPr>
        <w:t>北京卞氏拍卖有限公司</w:t>
      </w:r>
      <w:r w:rsidRPr="002D6C5C">
        <w:rPr>
          <w:rFonts w:asciiTheme="minorEastAsia" w:hAnsiTheme="minorEastAsia" w:cs="宋体" w:hint="eastAsia"/>
          <w:color w:val="404040"/>
          <w:kern w:val="0"/>
          <w:szCs w:val="21"/>
        </w:rPr>
        <w:t>，买受人支付款项前应下载并查看本成交确认书，买受人需于提取成交拍卖物前与拍卖人签署本成交确认书。买受人逾期不付清款项，则无权要求返还保证金。拍卖人经委托人同意对该项成交拍卖物再行拍卖时，买受人应承担再行拍卖所产生的费用，再行拍卖成交金额低于原拍卖成交金额的，其差价由买受人负责支付。</w:t>
      </w:r>
    </w:p>
    <w:p w:rsidR="002D6C5C" w:rsidRPr="002D6C5C" w:rsidRDefault="002D6C5C" w:rsidP="00D6593F">
      <w:pPr>
        <w:widowControl/>
        <w:shd w:val="clear" w:color="auto" w:fill="FFFFFF"/>
        <w:spacing w:beforeLines="50" w:afterLines="50" w:line="360" w:lineRule="auto"/>
        <w:ind w:firstLine="42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三、买受人在付清全部款项后应于</w:t>
      </w:r>
      <w:r w:rsidRPr="00AE37A1">
        <w:rPr>
          <w:rFonts w:asciiTheme="minorEastAsia" w:hAnsiTheme="minorEastAsia" w:cs="宋体" w:hint="eastAsia"/>
          <w:color w:val="404040"/>
          <w:kern w:val="0"/>
          <w:szCs w:val="21"/>
          <w:u w:val="single"/>
        </w:rPr>
        <w:t xml:space="preserve">       </w:t>
      </w:r>
      <w:r w:rsidRPr="002D6C5C">
        <w:rPr>
          <w:rFonts w:asciiTheme="minorEastAsia" w:hAnsiTheme="minorEastAsia" w:cs="宋体" w:hint="eastAsia"/>
          <w:color w:val="404040"/>
          <w:kern w:val="0"/>
          <w:szCs w:val="21"/>
        </w:rPr>
        <w:t>个工作日内到标的物所在地提取成交的拍卖物；买受人过期不提取拍卖物的，应向拍卖人支付保管费，具体费率按照标的物所在仓库公示的仓储费用为准，超过保管期限又不宜保存的物品，拍卖人可依法再行拍卖，所得款项扣除支出的费用后，多余款项由拍卖人退回原买受人或以其名义存入银行。</w:t>
      </w:r>
    </w:p>
    <w:p w:rsidR="002D6C5C" w:rsidRPr="002D6C5C" w:rsidRDefault="002D6C5C" w:rsidP="00D6593F">
      <w:pPr>
        <w:widowControl/>
        <w:shd w:val="clear" w:color="auto" w:fill="FFFFFF"/>
        <w:spacing w:beforeLines="50" w:afterLines="50" w:line="360" w:lineRule="auto"/>
        <w:ind w:firstLine="42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四、因买受人原因造成拍卖标的不能及时移交或办理权属过户登记的，拍卖人不承担任何责任。</w:t>
      </w:r>
    </w:p>
    <w:p w:rsidR="002D6C5C" w:rsidRPr="002D6C5C" w:rsidRDefault="002D6C5C" w:rsidP="00D6593F">
      <w:pPr>
        <w:widowControl/>
        <w:shd w:val="clear" w:color="auto" w:fill="FFFFFF"/>
        <w:spacing w:beforeLines="50" w:afterLines="50" w:line="360" w:lineRule="auto"/>
        <w:ind w:firstLine="42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lastRenderedPageBreak/>
        <w:t>五、买受人要求对其身份进行保密的，拍卖人应予保密。</w:t>
      </w:r>
    </w:p>
    <w:p w:rsidR="002D6C5C" w:rsidRPr="002D6C5C" w:rsidRDefault="002D6C5C" w:rsidP="00D6593F">
      <w:pPr>
        <w:widowControl/>
        <w:shd w:val="clear" w:color="auto" w:fill="FFFFFF"/>
        <w:spacing w:beforeLines="50" w:afterLines="50" w:line="360" w:lineRule="auto"/>
        <w:ind w:firstLine="42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六、买受人在提取成交拍卖物时，应对拍卖物进行认真验收。若发现拍卖物与拍卖资料不符，应当场向拍卖人提出，拍卖人应予以解决。</w:t>
      </w:r>
    </w:p>
    <w:p w:rsidR="002D6C5C" w:rsidRPr="002D6C5C" w:rsidRDefault="002D6C5C" w:rsidP="00D6593F">
      <w:pPr>
        <w:widowControl/>
        <w:shd w:val="clear" w:color="auto" w:fill="FFFFFF"/>
        <w:spacing w:beforeLines="50" w:afterLines="50" w:line="360" w:lineRule="auto"/>
        <w:ind w:firstLine="42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七、本确认书在履行中若发生争议，双方应协商解决，解决不成的，可向拍卖人所在地人民法院起诉。</w:t>
      </w:r>
    </w:p>
    <w:p w:rsidR="002D6C5C" w:rsidRPr="002D6C5C" w:rsidRDefault="002D6C5C" w:rsidP="00D6593F">
      <w:pPr>
        <w:widowControl/>
        <w:shd w:val="clear" w:color="auto" w:fill="FFFFFF"/>
        <w:spacing w:beforeLines="50" w:afterLines="50" w:line="360" w:lineRule="auto"/>
        <w:ind w:firstLine="42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八、买受人办理的竞买申请手续及其对本场拍卖会提供的文件和资料为本确认书的有效组成部分（如《竞拍公告》等附件)；拍卖人在拍卖前宣布的拍卖规则，与本成交确认书有不同规定的，以本拍卖成交确认书的规定为准。</w:t>
      </w:r>
    </w:p>
    <w:p w:rsidR="002D6C5C" w:rsidRPr="002D6C5C" w:rsidRDefault="002D6C5C" w:rsidP="00D6593F">
      <w:pPr>
        <w:widowControl/>
        <w:shd w:val="clear" w:color="auto" w:fill="FFFFFF"/>
        <w:spacing w:beforeLines="50" w:afterLines="50" w:line="360" w:lineRule="auto"/>
        <w:ind w:firstLine="42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九、本拍卖成交确认书自双方签字盖章后生效。其中，买受人为自然人的，需签字签署；买受人为企业用户的，需盖章签署。</w:t>
      </w:r>
    </w:p>
    <w:p w:rsidR="002D6C5C" w:rsidRPr="002D6C5C" w:rsidRDefault="002D6C5C" w:rsidP="00D6593F">
      <w:pPr>
        <w:widowControl/>
        <w:shd w:val="clear" w:color="auto" w:fill="FFFFFF"/>
        <w:spacing w:beforeLines="50" w:afterLines="50" w:line="360" w:lineRule="auto"/>
        <w:ind w:firstLine="42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十、属于海关委托的拍卖标的，按海关的相关规定执行。</w:t>
      </w:r>
    </w:p>
    <w:p w:rsidR="002D6C5C" w:rsidRPr="002D6C5C" w:rsidRDefault="002D6C5C" w:rsidP="00D6593F">
      <w:pPr>
        <w:widowControl/>
        <w:shd w:val="clear" w:color="auto" w:fill="FFFFFF"/>
        <w:spacing w:beforeLines="50" w:afterLines="50" w:line="360" w:lineRule="auto"/>
        <w:ind w:firstLine="420"/>
        <w:jc w:val="left"/>
        <w:rPr>
          <w:rFonts w:asciiTheme="minorEastAsia" w:hAnsiTheme="minorEastAsia" w:cs="宋体" w:hint="eastAsia"/>
          <w:color w:val="404040"/>
          <w:kern w:val="0"/>
          <w:szCs w:val="21"/>
        </w:rPr>
      </w:pPr>
      <w:r w:rsidRPr="002D6C5C">
        <w:rPr>
          <w:rFonts w:asciiTheme="minorEastAsia" w:hAnsiTheme="minorEastAsia" w:cs="宋体" w:hint="eastAsia"/>
          <w:color w:val="404040"/>
          <w:kern w:val="0"/>
          <w:szCs w:val="21"/>
        </w:rPr>
        <w:t> </w:t>
      </w:r>
    </w:p>
    <w:tbl>
      <w:tblPr>
        <w:tblW w:w="0" w:type="auto"/>
        <w:tblCellSpacing w:w="0" w:type="dxa"/>
        <w:shd w:val="clear" w:color="auto" w:fill="FFFFFF"/>
        <w:tblCellMar>
          <w:left w:w="0" w:type="dxa"/>
          <w:right w:w="0" w:type="dxa"/>
        </w:tblCellMar>
        <w:tblLook w:val="04A0"/>
      </w:tblPr>
      <w:tblGrid>
        <w:gridCol w:w="4258"/>
        <w:gridCol w:w="4258"/>
      </w:tblGrid>
      <w:tr w:rsidR="002D6C5C" w:rsidRPr="002D6C5C" w:rsidTr="002D6C5C">
        <w:trPr>
          <w:tblCellSpacing w:w="0" w:type="dxa"/>
        </w:trPr>
        <w:tc>
          <w:tcPr>
            <w:tcW w:w="4260" w:type="dxa"/>
            <w:tcBorders>
              <w:top w:val="nil"/>
              <w:left w:val="nil"/>
              <w:bottom w:val="nil"/>
              <w:right w:val="nil"/>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买受人（签字</w:t>
            </w:r>
            <w:r w:rsidRPr="002D6C5C">
              <w:rPr>
                <w:rFonts w:asciiTheme="minorEastAsia" w:hAnsiTheme="minorEastAsia" w:cs="宋体"/>
                <w:color w:val="404040"/>
                <w:kern w:val="0"/>
                <w:szCs w:val="21"/>
              </w:rPr>
              <w:t>/</w:t>
            </w:r>
            <w:r w:rsidRPr="002D6C5C">
              <w:rPr>
                <w:rFonts w:asciiTheme="minorEastAsia" w:hAnsiTheme="minorEastAsia" w:cs="宋体" w:hint="eastAsia"/>
                <w:color w:val="404040"/>
                <w:kern w:val="0"/>
                <w:szCs w:val="21"/>
              </w:rPr>
              <w:t>盖章）：</w:t>
            </w:r>
          </w:p>
        </w:tc>
        <w:tc>
          <w:tcPr>
            <w:tcW w:w="4260" w:type="dxa"/>
            <w:tcBorders>
              <w:top w:val="nil"/>
              <w:left w:val="nil"/>
              <w:bottom w:val="nil"/>
              <w:right w:val="nil"/>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拍卖人（盖章）：</w:t>
            </w:r>
          </w:p>
        </w:tc>
      </w:tr>
      <w:tr w:rsidR="002D6C5C" w:rsidRPr="002D6C5C" w:rsidTr="002D6C5C">
        <w:trPr>
          <w:tblCellSpacing w:w="0" w:type="dxa"/>
        </w:trPr>
        <w:tc>
          <w:tcPr>
            <w:tcW w:w="4260" w:type="dxa"/>
            <w:tcBorders>
              <w:top w:val="nil"/>
              <w:left w:val="nil"/>
              <w:bottom w:val="nil"/>
              <w:right w:val="nil"/>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法定代表人：</w:t>
            </w:r>
          </w:p>
        </w:tc>
        <w:tc>
          <w:tcPr>
            <w:tcW w:w="4260" w:type="dxa"/>
            <w:tcBorders>
              <w:top w:val="nil"/>
              <w:left w:val="nil"/>
              <w:bottom w:val="nil"/>
              <w:right w:val="nil"/>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法定代表人：</w:t>
            </w:r>
          </w:p>
        </w:tc>
      </w:tr>
      <w:tr w:rsidR="002D6C5C" w:rsidRPr="002D6C5C" w:rsidTr="002D6C5C">
        <w:trPr>
          <w:tblCellSpacing w:w="0" w:type="dxa"/>
        </w:trPr>
        <w:tc>
          <w:tcPr>
            <w:tcW w:w="4260" w:type="dxa"/>
            <w:tcBorders>
              <w:top w:val="nil"/>
              <w:left w:val="nil"/>
              <w:bottom w:val="nil"/>
              <w:right w:val="nil"/>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委托代表人：</w:t>
            </w:r>
          </w:p>
        </w:tc>
        <w:tc>
          <w:tcPr>
            <w:tcW w:w="4260" w:type="dxa"/>
            <w:tcBorders>
              <w:top w:val="nil"/>
              <w:left w:val="nil"/>
              <w:bottom w:val="nil"/>
              <w:right w:val="nil"/>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委托代表人：</w:t>
            </w:r>
          </w:p>
        </w:tc>
      </w:tr>
      <w:tr w:rsidR="002D6C5C" w:rsidRPr="002D6C5C" w:rsidTr="002D6C5C">
        <w:trPr>
          <w:tblCellSpacing w:w="0" w:type="dxa"/>
        </w:trPr>
        <w:tc>
          <w:tcPr>
            <w:tcW w:w="4260" w:type="dxa"/>
            <w:tcBorders>
              <w:top w:val="nil"/>
              <w:left w:val="nil"/>
              <w:bottom w:val="nil"/>
              <w:right w:val="nil"/>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电话：</w:t>
            </w:r>
          </w:p>
        </w:tc>
        <w:tc>
          <w:tcPr>
            <w:tcW w:w="4260" w:type="dxa"/>
            <w:tcBorders>
              <w:top w:val="nil"/>
              <w:left w:val="nil"/>
              <w:bottom w:val="nil"/>
              <w:right w:val="nil"/>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电话：</w:t>
            </w:r>
          </w:p>
        </w:tc>
      </w:tr>
      <w:tr w:rsidR="002D6C5C" w:rsidRPr="002D6C5C" w:rsidTr="002D6C5C">
        <w:trPr>
          <w:tblCellSpacing w:w="0" w:type="dxa"/>
        </w:trPr>
        <w:tc>
          <w:tcPr>
            <w:tcW w:w="4260" w:type="dxa"/>
            <w:tcBorders>
              <w:top w:val="nil"/>
              <w:left w:val="nil"/>
              <w:bottom w:val="nil"/>
              <w:right w:val="nil"/>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地址</w:t>
            </w:r>
            <w:r w:rsidRPr="002D6C5C">
              <w:rPr>
                <w:rFonts w:asciiTheme="minorEastAsia" w:hAnsiTheme="minorEastAsia" w:cs="宋体"/>
                <w:color w:val="404040"/>
                <w:kern w:val="0"/>
                <w:szCs w:val="21"/>
              </w:rPr>
              <w:t>:</w:t>
            </w:r>
          </w:p>
        </w:tc>
        <w:tc>
          <w:tcPr>
            <w:tcW w:w="4260" w:type="dxa"/>
            <w:tcBorders>
              <w:top w:val="nil"/>
              <w:left w:val="nil"/>
              <w:bottom w:val="nil"/>
              <w:right w:val="nil"/>
            </w:tcBorders>
            <w:shd w:val="clear" w:color="auto" w:fill="auto"/>
            <w:tcMar>
              <w:top w:w="0" w:type="dxa"/>
              <w:left w:w="105" w:type="dxa"/>
              <w:bottom w:w="0" w:type="dxa"/>
              <w:right w:w="105" w:type="dxa"/>
            </w:tcMar>
            <w:hideMark/>
          </w:tcPr>
          <w:p w:rsidR="002D6C5C" w:rsidRPr="002D6C5C" w:rsidRDefault="002D6C5C" w:rsidP="00D6593F">
            <w:pPr>
              <w:widowControl/>
              <w:spacing w:beforeLines="50" w:afterLines="50" w:line="360" w:lineRule="auto"/>
              <w:ind w:firstLine="420"/>
              <w:jc w:val="left"/>
              <w:rPr>
                <w:rFonts w:asciiTheme="minorEastAsia" w:hAnsiTheme="minorEastAsia" w:cs="宋体"/>
                <w:color w:val="404040"/>
                <w:kern w:val="0"/>
                <w:szCs w:val="21"/>
              </w:rPr>
            </w:pPr>
            <w:r w:rsidRPr="002D6C5C">
              <w:rPr>
                <w:rFonts w:asciiTheme="minorEastAsia" w:hAnsiTheme="minorEastAsia" w:cs="宋体" w:hint="eastAsia"/>
                <w:color w:val="404040"/>
                <w:kern w:val="0"/>
                <w:szCs w:val="21"/>
              </w:rPr>
              <w:t>地址：</w:t>
            </w:r>
          </w:p>
        </w:tc>
      </w:tr>
    </w:tbl>
    <w:p w:rsidR="0095507D" w:rsidRPr="00AE37A1" w:rsidRDefault="0095507D" w:rsidP="00D6593F">
      <w:pPr>
        <w:spacing w:beforeLines="50" w:afterLines="50" w:line="360" w:lineRule="auto"/>
        <w:rPr>
          <w:rFonts w:asciiTheme="minorEastAsia" w:hAnsiTheme="minorEastAsia"/>
          <w:sz w:val="24"/>
          <w:szCs w:val="24"/>
        </w:rPr>
      </w:pPr>
    </w:p>
    <w:sectPr w:rsidR="0095507D" w:rsidRPr="00AE37A1" w:rsidSect="009550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6C5C"/>
    <w:rsid w:val="0003363B"/>
    <w:rsid w:val="002D6C5C"/>
    <w:rsid w:val="008E2B7E"/>
    <w:rsid w:val="0095507D"/>
    <w:rsid w:val="00AE37A1"/>
    <w:rsid w:val="00D65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C5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D6C5C"/>
  </w:style>
  <w:style w:type="paragraph" w:styleId="a4">
    <w:name w:val="List Paragraph"/>
    <w:basedOn w:val="a"/>
    <w:uiPriority w:val="34"/>
    <w:qFormat/>
    <w:rsid w:val="002D6C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3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2018-06-25T00:31:00Z</dcterms:created>
  <dcterms:modified xsi:type="dcterms:W3CDTF">2018-06-25T01:01:00Z</dcterms:modified>
</cp:coreProperties>
</file>